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9397" w14:textId="77777777" w:rsidR="000F6422" w:rsidRPr="0010681F" w:rsidRDefault="000F6422" w:rsidP="000F6422">
      <w:pPr>
        <w:jc w:val="both"/>
        <w:rPr>
          <w:rFonts w:ascii="Arial" w:hAnsi="Arial" w:cs="Arial"/>
          <w:sz w:val="22"/>
          <w:szCs w:val="22"/>
        </w:rPr>
      </w:pPr>
    </w:p>
    <w:p w14:paraId="2D9BD8EE" w14:textId="439833F1" w:rsidR="000F6422" w:rsidRPr="0010681F" w:rsidRDefault="000F6422" w:rsidP="008A3E3E">
      <w:pPr>
        <w:rPr>
          <w:rFonts w:ascii="Arial" w:hAnsi="Arial" w:cs="Arial"/>
          <w:b/>
          <w:bCs/>
          <w:sz w:val="22"/>
          <w:szCs w:val="22"/>
        </w:rPr>
      </w:pPr>
      <w:r>
        <w:rPr>
          <w:rFonts w:ascii="Arial" w:hAnsi="Arial" w:cs="Arial"/>
          <w:b/>
          <w:bCs/>
          <w:sz w:val="22"/>
          <w:szCs w:val="22"/>
          <w:highlight w:val="yellow"/>
        </w:rPr>
        <w:t>EXAMPLE</w:t>
      </w:r>
      <w:r w:rsidRPr="005636EF">
        <w:rPr>
          <w:rFonts w:ascii="Arial" w:hAnsi="Arial" w:cs="Arial"/>
          <w:b/>
          <w:bCs/>
          <w:sz w:val="22"/>
          <w:szCs w:val="22"/>
          <w:highlight w:val="yellow"/>
        </w:rPr>
        <w:t xml:space="preserve"> TITLE: </w:t>
      </w:r>
      <w:r w:rsidR="006608EC" w:rsidRPr="008A3E3E">
        <w:rPr>
          <w:rFonts w:ascii="Arial" w:hAnsi="Arial" w:cs="Arial"/>
          <w:b/>
          <w:bCs/>
          <w:sz w:val="22"/>
          <w:szCs w:val="22"/>
          <w:highlight w:val="yellow"/>
        </w:rPr>
        <w:t>Petrol motorcycles must be given more time to phase out</w:t>
      </w:r>
    </w:p>
    <w:p w14:paraId="4EDDEA77" w14:textId="77777777" w:rsidR="000F6422" w:rsidRPr="0010681F" w:rsidRDefault="000F6422" w:rsidP="000F6422">
      <w:pPr>
        <w:jc w:val="both"/>
        <w:rPr>
          <w:rFonts w:ascii="Arial" w:hAnsi="Arial" w:cs="Arial"/>
          <w:sz w:val="22"/>
          <w:szCs w:val="22"/>
        </w:rPr>
      </w:pPr>
    </w:p>
    <w:p w14:paraId="641BF566" w14:textId="4206C0B8" w:rsidR="00FE00CB" w:rsidRPr="0010681F" w:rsidRDefault="006608EC" w:rsidP="00FE00CB">
      <w:pPr>
        <w:jc w:val="both"/>
        <w:rPr>
          <w:rFonts w:ascii="Arial" w:hAnsi="Arial" w:cs="Arial"/>
          <w:sz w:val="22"/>
          <w:szCs w:val="22"/>
        </w:rPr>
      </w:pPr>
      <w:r>
        <w:rPr>
          <w:rFonts w:ascii="Arial" w:hAnsi="Arial" w:cs="Arial"/>
          <w:sz w:val="22"/>
          <w:szCs w:val="22"/>
          <w:highlight w:val="yellow"/>
        </w:rPr>
        <w:t>Name of MP</w:t>
      </w:r>
      <w:r w:rsidR="000F6422" w:rsidRPr="0010681F">
        <w:rPr>
          <w:rFonts w:ascii="Arial" w:hAnsi="Arial" w:cs="Arial"/>
          <w:sz w:val="22"/>
          <w:szCs w:val="22"/>
        </w:rPr>
        <w:t xml:space="preserve"> </w:t>
      </w:r>
      <w:bookmarkStart w:id="0" w:name="_Hlk107994855"/>
      <w:r w:rsidR="00FE00CB">
        <w:rPr>
          <w:rFonts w:ascii="Arial" w:hAnsi="Arial" w:cs="Arial"/>
          <w:sz w:val="22"/>
          <w:szCs w:val="22"/>
        </w:rPr>
        <w:t xml:space="preserve">was disappointed at the proposals to phase out </w:t>
      </w:r>
      <w:r w:rsidR="00FE00CB" w:rsidRPr="002624B0">
        <w:rPr>
          <w:rFonts w:ascii="Arial" w:hAnsi="Arial" w:cs="Arial"/>
          <w:sz w:val="22"/>
          <w:szCs w:val="22"/>
        </w:rPr>
        <w:t xml:space="preserve">new non-zero emission </w:t>
      </w:r>
      <w:r w:rsidR="00FE00CB">
        <w:rPr>
          <w:rFonts w:ascii="Arial" w:hAnsi="Arial" w:cs="Arial"/>
          <w:sz w:val="22"/>
          <w:szCs w:val="22"/>
        </w:rPr>
        <w:t xml:space="preserve">motorcycles by 2035 in the recent consultation and has urged the Government </w:t>
      </w:r>
      <w:r w:rsidR="00FE00CB" w:rsidRPr="0010681F">
        <w:rPr>
          <w:rFonts w:ascii="Arial" w:hAnsi="Arial" w:cs="Arial"/>
          <w:sz w:val="22"/>
          <w:szCs w:val="22"/>
        </w:rPr>
        <w:t>to give industry more time in making the transition to alternative fuels/powertrains</w:t>
      </w:r>
      <w:r w:rsidR="00FE00CB">
        <w:rPr>
          <w:rFonts w:ascii="Arial" w:hAnsi="Arial" w:cs="Arial"/>
          <w:sz w:val="22"/>
          <w:szCs w:val="22"/>
        </w:rPr>
        <w:t xml:space="preserve"> in </w:t>
      </w:r>
      <w:r w:rsidR="001C181C">
        <w:rPr>
          <w:rFonts w:ascii="Arial" w:hAnsi="Arial" w:cs="Arial"/>
          <w:sz w:val="22"/>
          <w:szCs w:val="22"/>
        </w:rPr>
        <w:t>their</w:t>
      </w:r>
      <w:r w:rsidR="00FE00CB">
        <w:rPr>
          <w:rFonts w:ascii="Arial" w:hAnsi="Arial" w:cs="Arial"/>
          <w:sz w:val="22"/>
          <w:szCs w:val="22"/>
        </w:rPr>
        <w:t xml:space="preserve"> submission response.</w:t>
      </w:r>
    </w:p>
    <w:bookmarkEnd w:id="0"/>
    <w:p w14:paraId="1FA2459D" w14:textId="77777777" w:rsidR="00FE00CB" w:rsidRPr="0010681F" w:rsidRDefault="00FE00CB" w:rsidP="00FE00CB">
      <w:pPr>
        <w:jc w:val="both"/>
        <w:rPr>
          <w:rFonts w:ascii="Arial" w:hAnsi="Arial" w:cs="Arial"/>
          <w:sz w:val="22"/>
          <w:szCs w:val="22"/>
        </w:rPr>
      </w:pPr>
    </w:p>
    <w:p w14:paraId="2F555FAB" w14:textId="7625F9A8" w:rsidR="00FE00CB" w:rsidRPr="0010681F" w:rsidRDefault="00FE00CB" w:rsidP="00FE00CB">
      <w:pPr>
        <w:jc w:val="both"/>
        <w:rPr>
          <w:rFonts w:ascii="Arial" w:hAnsi="Arial" w:cs="Arial"/>
          <w:sz w:val="22"/>
          <w:szCs w:val="22"/>
        </w:rPr>
      </w:pPr>
      <w:r w:rsidRPr="0010681F">
        <w:rPr>
          <w:rFonts w:ascii="Arial" w:hAnsi="Arial" w:cs="Arial"/>
          <w:sz w:val="22"/>
          <w:szCs w:val="22"/>
        </w:rPr>
        <w:t xml:space="preserve">Whilst </w:t>
      </w:r>
      <w:r>
        <w:rPr>
          <w:rFonts w:ascii="Arial" w:hAnsi="Arial" w:cs="Arial"/>
          <w:sz w:val="22"/>
          <w:szCs w:val="22"/>
        </w:rPr>
        <w:t>I</w:t>
      </w:r>
      <w:r w:rsidRPr="0010681F">
        <w:rPr>
          <w:rFonts w:ascii="Arial" w:hAnsi="Arial" w:cs="Arial"/>
          <w:sz w:val="22"/>
          <w:szCs w:val="22"/>
        </w:rPr>
        <w:t xml:space="preserve"> fully support </w:t>
      </w:r>
      <w:r>
        <w:rPr>
          <w:rFonts w:ascii="Arial" w:hAnsi="Arial" w:cs="Arial"/>
          <w:sz w:val="22"/>
          <w:szCs w:val="22"/>
        </w:rPr>
        <w:t xml:space="preserve">tackling climate challenges, </w:t>
      </w:r>
      <w:r w:rsidRPr="0010681F">
        <w:rPr>
          <w:rFonts w:ascii="Arial" w:hAnsi="Arial" w:cs="Arial"/>
          <w:sz w:val="22"/>
          <w:szCs w:val="22"/>
        </w:rPr>
        <w:t xml:space="preserve">the Government needs to do more in recognising the complexities of </w:t>
      </w:r>
      <w:r w:rsidR="001C181C">
        <w:rPr>
          <w:rFonts w:ascii="Arial" w:hAnsi="Arial" w:cs="Arial"/>
          <w:sz w:val="22"/>
          <w:szCs w:val="22"/>
        </w:rPr>
        <w:t>the</w:t>
      </w:r>
      <w:r w:rsidRPr="0010681F">
        <w:rPr>
          <w:rFonts w:ascii="Arial" w:hAnsi="Arial" w:cs="Arial"/>
          <w:sz w:val="22"/>
          <w:szCs w:val="22"/>
        </w:rPr>
        <w:t xml:space="preserve"> sector. The </w:t>
      </w:r>
      <w:r>
        <w:rPr>
          <w:rFonts w:ascii="Arial" w:hAnsi="Arial" w:cs="Arial"/>
          <w:sz w:val="22"/>
          <w:szCs w:val="22"/>
        </w:rPr>
        <w:t>‘</w:t>
      </w:r>
      <w:r w:rsidRPr="0010681F">
        <w:rPr>
          <w:rFonts w:ascii="Arial" w:hAnsi="Arial" w:cs="Arial"/>
          <w:sz w:val="22"/>
          <w:szCs w:val="22"/>
        </w:rPr>
        <w:t>L-Category</w:t>
      </w:r>
      <w:r>
        <w:rPr>
          <w:rFonts w:ascii="Arial" w:hAnsi="Arial" w:cs="Arial"/>
          <w:sz w:val="22"/>
          <w:szCs w:val="22"/>
        </w:rPr>
        <w:t>’</w:t>
      </w:r>
      <w:r w:rsidRPr="0010681F">
        <w:rPr>
          <w:rFonts w:ascii="Arial" w:hAnsi="Arial" w:cs="Arial"/>
          <w:sz w:val="22"/>
          <w:szCs w:val="22"/>
        </w:rPr>
        <w:t xml:space="preserve"> framework, within which powered two, three and </w:t>
      </w:r>
      <w:r>
        <w:rPr>
          <w:rFonts w:ascii="Arial" w:hAnsi="Arial" w:cs="Arial"/>
          <w:sz w:val="22"/>
          <w:szCs w:val="22"/>
        </w:rPr>
        <w:t xml:space="preserve">light </w:t>
      </w:r>
      <w:r w:rsidRPr="0010681F">
        <w:rPr>
          <w:rFonts w:ascii="Arial" w:hAnsi="Arial" w:cs="Arial"/>
          <w:sz w:val="22"/>
          <w:szCs w:val="22"/>
        </w:rPr>
        <w:t>four wheeled vehicles sit, is complex and varied. This means what’s feasible for some vehicles is not feasible for others.</w:t>
      </w:r>
    </w:p>
    <w:p w14:paraId="7943EF78" w14:textId="77777777" w:rsidR="00FE00CB" w:rsidRPr="0010681F" w:rsidRDefault="00FE00CB" w:rsidP="00FE00CB">
      <w:pPr>
        <w:jc w:val="both"/>
        <w:rPr>
          <w:rFonts w:ascii="Arial" w:hAnsi="Arial" w:cs="Arial"/>
          <w:sz w:val="22"/>
          <w:szCs w:val="22"/>
        </w:rPr>
      </w:pPr>
    </w:p>
    <w:p w14:paraId="3E46D251" w14:textId="1B9A2A24" w:rsidR="00FE00CB" w:rsidRPr="0010681F" w:rsidRDefault="00FE00CB" w:rsidP="00FE00CB">
      <w:pPr>
        <w:jc w:val="both"/>
        <w:rPr>
          <w:rFonts w:ascii="Arial" w:hAnsi="Arial" w:cs="Arial"/>
          <w:sz w:val="22"/>
          <w:szCs w:val="22"/>
        </w:rPr>
      </w:pPr>
      <w:r w:rsidRPr="0010681F">
        <w:rPr>
          <w:rFonts w:ascii="Arial" w:hAnsi="Arial" w:cs="Arial"/>
          <w:sz w:val="22"/>
          <w:szCs w:val="22"/>
        </w:rPr>
        <w:t xml:space="preserve">Mopeds (or ‘L1’ vehicles) are leading the way with electrification, with over </w:t>
      </w:r>
      <w:r>
        <w:rPr>
          <w:rFonts w:ascii="Arial" w:hAnsi="Arial" w:cs="Arial"/>
          <w:sz w:val="22"/>
          <w:szCs w:val="22"/>
        </w:rPr>
        <w:t xml:space="preserve">half </w:t>
      </w:r>
      <w:r w:rsidRPr="0010681F">
        <w:rPr>
          <w:rFonts w:ascii="Arial" w:hAnsi="Arial" w:cs="Arial"/>
          <w:sz w:val="22"/>
          <w:szCs w:val="22"/>
        </w:rPr>
        <w:t xml:space="preserve">of the market fully electric already. </w:t>
      </w:r>
      <w:r w:rsidR="001C181C">
        <w:rPr>
          <w:rFonts w:ascii="Arial" w:hAnsi="Arial" w:cs="Arial"/>
          <w:sz w:val="22"/>
          <w:szCs w:val="22"/>
        </w:rPr>
        <w:t>I</w:t>
      </w:r>
      <w:r w:rsidRPr="0010681F">
        <w:rPr>
          <w:rFonts w:ascii="Arial" w:hAnsi="Arial" w:cs="Arial"/>
          <w:sz w:val="22"/>
          <w:szCs w:val="22"/>
        </w:rPr>
        <w:t xml:space="preserve"> </w:t>
      </w:r>
      <w:r>
        <w:rPr>
          <w:rFonts w:ascii="Arial" w:hAnsi="Arial" w:cs="Arial"/>
          <w:sz w:val="22"/>
          <w:szCs w:val="22"/>
        </w:rPr>
        <w:t xml:space="preserve">therefore </w:t>
      </w:r>
      <w:r w:rsidRPr="0010681F">
        <w:rPr>
          <w:rFonts w:ascii="Arial" w:hAnsi="Arial" w:cs="Arial"/>
          <w:sz w:val="22"/>
          <w:szCs w:val="22"/>
        </w:rPr>
        <w:t xml:space="preserve">support the </w:t>
      </w:r>
      <w:r>
        <w:rPr>
          <w:rFonts w:ascii="Arial" w:hAnsi="Arial" w:cs="Arial"/>
          <w:sz w:val="22"/>
          <w:szCs w:val="22"/>
        </w:rPr>
        <w:t xml:space="preserve">proposal </w:t>
      </w:r>
      <w:r w:rsidRPr="0010681F">
        <w:rPr>
          <w:rFonts w:ascii="Arial" w:hAnsi="Arial" w:cs="Arial"/>
          <w:sz w:val="22"/>
          <w:szCs w:val="22"/>
        </w:rPr>
        <w:t xml:space="preserve">to bring forward their phasing out </w:t>
      </w:r>
      <w:r>
        <w:rPr>
          <w:rFonts w:ascii="Arial" w:hAnsi="Arial" w:cs="Arial"/>
          <w:sz w:val="22"/>
          <w:szCs w:val="22"/>
        </w:rPr>
        <w:t xml:space="preserve">to 2030 </w:t>
      </w:r>
      <w:r w:rsidRPr="0010681F">
        <w:rPr>
          <w:rFonts w:ascii="Arial" w:hAnsi="Arial" w:cs="Arial"/>
          <w:sz w:val="22"/>
          <w:szCs w:val="22"/>
        </w:rPr>
        <w:t xml:space="preserve">given the many benefits they bring to air quality, congestion and last mile delivery operations. </w:t>
      </w:r>
    </w:p>
    <w:p w14:paraId="3DFF53DA" w14:textId="77777777" w:rsidR="00FE00CB" w:rsidRPr="0010681F" w:rsidRDefault="00FE00CB" w:rsidP="00FE00CB">
      <w:pPr>
        <w:jc w:val="both"/>
        <w:rPr>
          <w:rFonts w:ascii="Arial" w:hAnsi="Arial" w:cs="Arial"/>
          <w:sz w:val="22"/>
          <w:szCs w:val="22"/>
        </w:rPr>
      </w:pPr>
    </w:p>
    <w:p w14:paraId="0740B7A7" w14:textId="77777777" w:rsidR="00FE00CB" w:rsidRDefault="00FE00CB" w:rsidP="00FE00CB">
      <w:pPr>
        <w:jc w:val="both"/>
        <w:rPr>
          <w:rFonts w:ascii="Arial" w:hAnsi="Arial" w:cs="Arial"/>
          <w:sz w:val="22"/>
          <w:szCs w:val="22"/>
        </w:rPr>
      </w:pPr>
      <w:r w:rsidRPr="0010681F">
        <w:rPr>
          <w:rFonts w:ascii="Arial" w:hAnsi="Arial" w:cs="Arial"/>
          <w:sz w:val="22"/>
          <w:szCs w:val="22"/>
        </w:rPr>
        <w:t xml:space="preserve">However, for traditional, large capacity powered two wheelers (or ‘L3’ vehicles), transitioning to electric powertrains or alternative fuels is far more difficult. The component and system supply chain for these vehicles is far less developed than its automotive counterpart and so commercially unviable for manufacturers to build and for customers to buy as the price point is currently too high. </w:t>
      </w:r>
    </w:p>
    <w:p w14:paraId="58D232E5" w14:textId="77777777" w:rsidR="00FE00CB" w:rsidRDefault="00FE00CB" w:rsidP="00FE00CB">
      <w:pPr>
        <w:jc w:val="both"/>
        <w:rPr>
          <w:rFonts w:ascii="Arial" w:hAnsi="Arial" w:cs="Arial"/>
          <w:sz w:val="22"/>
          <w:szCs w:val="22"/>
        </w:rPr>
      </w:pPr>
    </w:p>
    <w:p w14:paraId="12F761FF" w14:textId="23851AA4" w:rsidR="00FE00CB" w:rsidRDefault="00FE00CB" w:rsidP="00FE00CB">
      <w:pPr>
        <w:jc w:val="both"/>
        <w:rPr>
          <w:rFonts w:ascii="Arial" w:hAnsi="Arial" w:cs="Arial"/>
          <w:sz w:val="22"/>
          <w:szCs w:val="22"/>
        </w:rPr>
      </w:pPr>
      <w:r>
        <w:rPr>
          <w:rFonts w:ascii="Arial" w:hAnsi="Arial" w:cs="Arial"/>
          <w:sz w:val="22"/>
          <w:szCs w:val="22"/>
        </w:rPr>
        <w:t>I therefore support the Motorcycle Industry Association’s position to phase out all new, non zero emission motorcycles above 4kW from 2040 and all L4, L6 and L7 vehicles by 2035. These, along with the 2030 date, should be accompanied by a series of readiness checks ahead of each date to ensure the infrastructure and policies are in place before implementation.</w:t>
      </w:r>
    </w:p>
    <w:p w14:paraId="558E8CCE" w14:textId="37772F35" w:rsidR="006608EC" w:rsidRPr="0010681F" w:rsidRDefault="006608EC" w:rsidP="00FE00CB">
      <w:pPr>
        <w:jc w:val="both"/>
        <w:rPr>
          <w:rFonts w:ascii="Arial" w:hAnsi="Arial" w:cs="Arial"/>
          <w:sz w:val="22"/>
          <w:szCs w:val="22"/>
        </w:rPr>
      </w:pPr>
    </w:p>
    <w:p w14:paraId="53281DF5" w14:textId="77777777" w:rsidR="000F6422" w:rsidRPr="0010681F" w:rsidRDefault="000F6422" w:rsidP="000F6422">
      <w:pPr>
        <w:jc w:val="both"/>
        <w:rPr>
          <w:rFonts w:ascii="Arial" w:hAnsi="Arial" w:cs="Arial"/>
          <w:sz w:val="22"/>
          <w:szCs w:val="22"/>
        </w:rPr>
      </w:pPr>
    </w:p>
    <w:p w14:paraId="451217F8" w14:textId="7BE882B4" w:rsidR="000F6422" w:rsidRDefault="000F6422" w:rsidP="000F6422">
      <w:pPr>
        <w:jc w:val="both"/>
        <w:rPr>
          <w:rFonts w:ascii="Arial" w:hAnsi="Arial" w:cs="Arial"/>
          <w:sz w:val="22"/>
          <w:szCs w:val="22"/>
        </w:rPr>
      </w:pPr>
      <w:r w:rsidRPr="005636EF">
        <w:rPr>
          <w:rFonts w:ascii="Arial" w:hAnsi="Arial" w:cs="Arial"/>
          <w:sz w:val="22"/>
          <w:szCs w:val="22"/>
          <w:highlight w:val="yellow"/>
        </w:rPr>
        <w:t>XXX</w:t>
      </w:r>
      <w:r w:rsidR="00AD2571">
        <w:rPr>
          <w:rFonts w:ascii="Arial" w:hAnsi="Arial" w:cs="Arial"/>
          <w:sz w:val="22"/>
          <w:szCs w:val="22"/>
        </w:rPr>
        <w:t xml:space="preserve"> </w:t>
      </w:r>
      <w:r w:rsidR="00AD2571" w:rsidRPr="00AD2571">
        <w:rPr>
          <w:rFonts w:ascii="Arial" w:hAnsi="Arial" w:cs="Arial"/>
          <w:sz w:val="22"/>
          <w:szCs w:val="22"/>
          <w:highlight w:val="yellow"/>
        </w:rPr>
        <w:t>MP</w:t>
      </w:r>
      <w:r w:rsidR="00AD2571">
        <w:rPr>
          <w:rFonts w:ascii="Arial" w:hAnsi="Arial" w:cs="Arial"/>
          <w:sz w:val="22"/>
          <w:szCs w:val="22"/>
        </w:rPr>
        <w:t xml:space="preserve"> </w:t>
      </w:r>
      <w:r w:rsidR="00F177CC">
        <w:rPr>
          <w:rFonts w:ascii="Arial" w:hAnsi="Arial" w:cs="Arial"/>
          <w:sz w:val="22"/>
          <w:szCs w:val="22"/>
        </w:rPr>
        <w:t>said:</w:t>
      </w:r>
    </w:p>
    <w:p w14:paraId="622E685F" w14:textId="77777777" w:rsidR="000F6422" w:rsidRPr="0010681F" w:rsidRDefault="000F6422" w:rsidP="000F6422">
      <w:pPr>
        <w:jc w:val="both"/>
        <w:rPr>
          <w:rFonts w:ascii="Arial" w:hAnsi="Arial" w:cs="Arial"/>
          <w:sz w:val="22"/>
          <w:szCs w:val="22"/>
        </w:rPr>
      </w:pPr>
    </w:p>
    <w:p w14:paraId="2966F834" w14:textId="77777777" w:rsidR="000F6422" w:rsidRPr="0010681F" w:rsidRDefault="000F6422" w:rsidP="000F6422">
      <w:pPr>
        <w:jc w:val="both"/>
        <w:rPr>
          <w:rFonts w:ascii="Arial" w:hAnsi="Arial" w:cs="Arial"/>
          <w:sz w:val="22"/>
          <w:szCs w:val="22"/>
        </w:rPr>
      </w:pPr>
      <w:r w:rsidRPr="005636EF">
        <w:rPr>
          <w:rFonts w:ascii="Arial" w:hAnsi="Arial" w:cs="Arial"/>
          <w:sz w:val="22"/>
          <w:szCs w:val="22"/>
          <w:highlight w:val="yellow"/>
        </w:rPr>
        <w:t>XXXXX</w:t>
      </w:r>
    </w:p>
    <w:p w14:paraId="6E4CA7BF" w14:textId="77777777" w:rsidR="000F6422" w:rsidRPr="0010681F" w:rsidRDefault="000F6422" w:rsidP="000F6422">
      <w:pPr>
        <w:jc w:val="both"/>
        <w:rPr>
          <w:rFonts w:ascii="Arial" w:hAnsi="Arial" w:cs="Arial"/>
          <w:sz w:val="22"/>
          <w:szCs w:val="22"/>
        </w:rPr>
      </w:pPr>
    </w:p>
    <w:p w14:paraId="6290505F" w14:textId="77777777" w:rsidR="00FE00CB" w:rsidRDefault="00FE00CB" w:rsidP="00FE00CB">
      <w:pPr>
        <w:jc w:val="both"/>
        <w:rPr>
          <w:sz w:val="20"/>
          <w:szCs w:val="20"/>
        </w:rPr>
      </w:pPr>
      <w:bookmarkStart w:id="1" w:name="_Hlk107994932"/>
      <w:r>
        <w:rPr>
          <w:rFonts w:ascii="Arial" w:hAnsi="Arial" w:cs="Arial"/>
          <w:b/>
          <w:bCs/>
          <w:sz w:val="22"/>
          <w:szCs w:val="22"/>
        </w:rPr>
        <w:t>Tony Campbell, Chief Executive of the Motorcycle Industry Association (MCIA), said:</w:t>
      </w:r>
    </w:p>
    <w:p w14:paraId="5568290C" w14:textId="77777777" w:rsidR="00FE00CB" w:rsidRDefault="00FE00CB" w:rsidP="00FE00CB">
      <w:pPr>
        <w:jc w:val="both"/>
        <w:rPr>
          <w:sz w:val="22"/>
          <w:szCs w:val="22"/>
        </w:rPr>
      </w:pPr>
      <w:r>
        <w:rPr>
          <w:rFonts w:ascii="Arial" w:hAnsi="Arial" w:cs="Arial"/>
          <w:sz w:val="22"/>
          <w:szCs w:val="22"/>
        </w:rPr>
        <w:t> </w:t>
      </w:r>
    </w:p>
    <w:p w14:paraId="17FB97B7" w14:textId="77777777" w:rsidR="00FE00CB" w:rsidRPr="004B552F" w:rsidRDefault="00FE00CB" w:rsidP="00FE00CB">
      <w:pPr>
        <w:jc w:val="both"/>
        <w:rPr>
          <w:sz w:val="22"/>
          <w:szCs w:val="22"/>
        </w:rPr>
      </w:pPr>
      <w:r w:rsidRPr="004B552F">
        <w:rPr>
          <w:rFonts w:ascii="Arial" w:hAnsi="Arial" w:cs="Arial"/>
          <w:sz w:val="22"/>
          <w:szCs w:val="22"/>
        </w:rPr>
        <w:t xml:space="preserve">“We have been fully supportive of the Government’s </w:t>
      </w:r>
      <w:r>
        <w:rPr>
          <w:rFonts w:ascii="Arial" w:hAnsi="Arial" w:cs="Arial"/>
          <w:sz w:val="22"/>
          <w:szCs w:val="22"/>
        </w:rPr>
        <w:t>plans to tackle climate change</w:t>
      </w:r>
      <w:r w:rsidRPr="004B552F">
        <w:rPr>
          <w:rFonts w:ascii="Arial" w:hAnsi="Arial" w:cs="Arial"/>
          <w:sz w:val="22"/>
          <w:szCs w:val="22"/>
        </w:rPr>
        <w:t xml:space="preserve">, for example through the L-Category Action Plan. However, we </w:t>
      </w:r>
      <w:r>
        <w:rPr>
          <w:rFonts w:ascii="Arial" w:hAnsi="Arial" w:cs="Arial"/>
          <w:sz w:val="22"/>
          <w:szCs w:val="22"/>
        </w:rPr>
        <w:t>we</w:t>
      </w:r>
      <w:r w:rsidRPr="004B552F">
        <w:rPr>
          <w:rFonts w:ascii="Arial" w:hAnsi="Arial" w:cs="Arial"/>
          <w:sz w:val="22"/>
          <w:szCs w:val="22"/>
        </w:rPr>
        <w:t xml:space="preserve">re disappointed with </w:t>
      </w:r>
      <w:r>
        <w:rPr>
          <w:rFonts w:ascii="Arial" w:hAnsi="Arial" w:cs="Arial"/>
          <w:sz w:val="22"/>
          <w:szCs w:val="22"/>
        </w:rPr>
        <w:t xml:space="preserve">the proposals </w:t>
      </w:r>
      <w:r w:rsidRPr="004B552F">
        <w:rPr>
          <w:rFonts w:ascii="Arial" w:hAnsi="Arial" w:cs="Arial"/>
          <w:sz w:val="22"/>
          <w:szCs w:val="22"/>
        </w:rPr>
        <w:t>to phase out all new</w:t>
      </w:r>
      <w:r>
        <w:rPr>
          <w:rFonts w:ascii="Arial" w:hAnsi="Arial" w:cs="Arial"/>
          <w:sz w:val="22"/>
          <w:szCs w:val="22"/>
        </w:rPr>
        <w:t>,</w:t>
      </w:r>
      <w:r w:rsidRPr="004B552F">
        <w:rPr>
          <w:rFonts w:ascii="Arial" w:hAnsi="Arial" w:cs="Arial"/>
          <w:sz w:val="22"/>
          <w:szCs w:val="22"/>
        </w:rPr>
        <w:t xml:space="preserve"> non</w:t>
      </w:r>
      <w:r>
        <w:rPr>
          <w:rFonts w:ascii="Arial" w:hAnsi="Arial" w:cs="Arial"/>
          <w:sz w:val="22"/>
          <w:szCs w:val="22"/>
        </w:rPr>
        <w:t xml:space="preserve"> </w:t>
      </w:r>
      <w:r w:rsidRPr="004B552F">
        <w:rPr>
          <w:rFonts w:ascii="Arial" w:hAnsi="Arial" w:cs="Arial"/>
          <w:sz w:val="22"/>
          <w:szCs w:val="22"/>
        </w:rPr>
        <w:t>zero emission motorcycles by 2035.</w:t>
      </w:r>
    </w:p>
    <w:p w14:paraId="29F7FF9A" w14:textId="77777777" w:rsidR="00FE00CB" w:rsidRPr="004B552F" w:rsidRDefault="00FE00CB" w:rsidP="00FE00CB">
      <w:pPr>
        <w:jc w:val="both"/>
        <w:rPr>
          <w:sz w:val="22"/>
          <w:szCs w:val="22"/>
        </w:rPr>
      </w:pPr>
    </w:p>
    <w:p w14:paraId="2A1592A9" w14:textId="77777777" w:rsidR="00FE00CB" w:rsidRPr="004B552F" w:rsidRDefault="00FE00CB" w:rsidP="00FE00CB">
      <w:pPr>
        <w:jc w:val="both"/>
        <w:rPr>
          <w:sz w:val="22"/>
          <w:szCs w:val="22"/>
        </w:rPr>
      </w:pPr>
      <w:r w:rsidRPr="004B552F">
        <w:rPr>
          <w:rFonts w:ascii="Arial" w:hAnsi="Arial" w:cs="Arial"/>
          <w:sz w:val="22"/>
          <w:szCs w:val="22"/>
        </w:rPr>
        <w:t>“Making up just 0.5% of UK domestic transport emissions, th</w:t>
      </w:r>
      <w:r>
        <w:rPr>
          <w:rFonts w:ascii="Arial" w:hAnsi="Arial" w:cs="Arial"/>
          <w:sz w:val="22"/>
          <w:szCs w:val="22"/>
        </w:rPr>
        <w:t>e</w:t>
      </w:r>
      <w:r w:rsidRPr="004B552F">
        <w:rPr>
          <w:rFonts w:ascii="Arial" w:hAnsi="Arial" w:cs="Arial"/>
          <w:sz w:val="22"/>
          <w:szCs w:val="22"/>
        </w:rPr>
        <w:t xml:space="preserve"> </w:t>
      </w:r>
      <w:r>
        <w:rPr>
          <w:rFonts w:ascii="Arial" w:hAnsi="Arial" w:cs="Arial"/>
          <w:sz w:val="22"/>
          <w:szCs w:val="22"/>
        </w:rPr>
        <w:t>consultation</w:t>
      </w:r>
      <w:r w:rsidRPr="004B552F">
        <w:rPr>
          <w:rFonts w:ascii="Arial" w:hAnsi="Arial" w:cs="Arial"/>
          <w:sz w:val="22"/>
          <w:szCs w:val="22"/>
        </w:rPr>
        <w:t xml:space="preserve"> is a missed opportunity to allow industry more time to adapt, and for technology to catch up. Our </w:t>
      </w:r>
      <w:r>
        <w:rPr>
          <w:rFonts w:ascii="Arial" w:hAnsi="Arial" w:cs="Arial"/>
          <w:sz w:val="22"/>
          <w:szCs w:val="22"/>
        </w:rPr>
        <w:t>submission</w:t>
      </w:r>
      <w:r w:rsidRPr="004B552F">
        <w:rPr>
          <w:rFonts w:ascii="Arial" w:hAnsi="Arial" w:cs="Arial"/>
          <w:sz w:val="22"/>
          <w:szCs w:val="22"/>
        </w:rPr>
        <w:t xml:space="preserve"> explained why this sector needs a different approach, in particular where our products are primarily used for sport and leisure activities.  </w:t>
      </w:r>
    </w:p>
    <w:p w14:paraId="18A81D76" w14:textId="77777777" w:rsidR="00FE00CB" w:rsidRPr="004B552F" w:rsidRDefault="00FE00CB" w:rsidP="00FE00CB">
      <w:pPr>
        <w:jc w:val="both"/>
        <w:rPr>
          <w:sz w:val="22"/>
          <w:szCs w:val="22"/>
        </w:rPr>
      </w:pPr>
    </w:p>
    <w:p w14:paraId="047EF6F6" w14:textId="77777777" w:rsidR="00FE00CB" w:rsidRPr="004B552F" w:rsidRDefault="00FE00CB" w:rsidP="00FE00CB">
      <w:pPr>
        <w:jc w:val="both"/>
        <w:rPr>
          <w:sz w:val="22"/>
          <w:szCs w:val="22"/>
        </w:rPr>
      </w:pPr>
      <w:r w:rsidRPr="004B552F">
        <w:rPr>
          <w:rFonts w:ascii="Arial" w:hAnsi="Arial" w:cs="Arial"/>
          <w:sz w:val="22"/>
          <w:szCs w:val="22"/>
        </w:rPr>
        <w:t xml:space="preserve">“We recognise our environmental contribution will increase as other transport modes phase out and so support the decision to phase out L1 vehicles by 2030. However, we </w:t>
      </w:r>
      <w:r>
        <w:rPr>
          <w:rFonts w:ascii="Arial" w:hAnsi="Arial" w:cs="Arial"/>
          <w:sz w:val="22"/>
          <w:szCs w:val="22"/>
        </w:rPr>
        <w:t xml:space="preserve">objected strongly to the proposal </w:t>
      </w:r>
      <w:r w:rsidRPr="004B552F">
        <w:rPr>
          <w:rFonts w:ascii="Arial" w:hAnsi="Arial" w:cs="Arial"/>
          <w:sz w:val="22"/>
          <w:szCs w:val="22"/>
        </w:rPr>
        <w:t>to include L3e-A1</w:t>
      </w:r>
      <w:r>
        <w:rPr>
          <w:rFonts w:ascii="Arial" w:hAnsi="Arial" w:cs="Arial"/>
          <w:sz w:val="22"/>
          <w:szCs w:val="22"/>
        </w:rPr>
        <w:t xml:space="preserve"> vehicles within this date</w:t>
      </w:r>
      <w:r w:rsidRPr="004B552F">
        <w:rPr>
          <w:rFonts w:ascii="Arial" w:hAnsi="Arial" w:cs="Arial"/>
          <w:sz w:val="22"/>
          <w:szCs w:val="22"/>
        </w:rPr>
        <w:t xml:space="preserve">, which even with an ICE powertrain are significantly more environmentally efficient than </w:t>
      </w:r>
      <w:r>
        <w:rPr>
          <w:rFonts w:ascii="Arial" w:hAnsi="Arial" w:cs="Arial"/>
          <w:sz w:val="22"/>
          <w:szCs w:val="22"/>
        </w:rPr>
        <w:t xml:space="preserve">some </w:t>
      </w:r>
      <w:r w:rsidRPr="004B552F">
        <w:rPr>
          <w:rFonts w:ascii="Arial" w:hAnsi="Arial" w:cs="Arial"/>
          <w:sz w:val="22"/>
          <w:szCs w:val="22"/>
        </w:rPr>
        <w:t>electric</w:t>
      </w:r>
      <w:r>
        <w:rPr>
          <w:rFonts w:ascii="Arial" w:hAnsi="Arial" w:cs="Arial"/>
          <w:sz w:val="22"/>
          <w:szCs w:val="22"/>
        </w:rPr>
        <w:t xml:space="preserve"> cars</w:t>
      </w:r>
      <w:r w:rsidRPr="004B552F">
        <w:rPr>
          <w:rStyle w:val="FootnoteReference"/>
          <w:rFonts w:ascii="Arial" w:hAnsi="Arial" w:cs="Arial"/>
          <w:sz w:val="22"/>
          <w:szCs w:val="22"/>
        </w:rPr>
        <w:footnoteReference w:id="1"/>
      </w:r>
      <w:r w:rsidRPr="004B552F">
        <w:rPr>
          <w:rFonts w:ascii="Arial" w:hAnsi="Arial" w:cs="Arial"/>
          <w:sz w:val="22"/>
          <w:szCs w:val="22"/>
        </w:rPr>
        <w:t xml:space="preserve">. The </w:t>
      </w:r>
      <w:r w:rsidRPr="004B552F">
        <w:rPr>
          <w:rFonts w:ascii="Arial" w:hAnsi="Arial" w:cs="Arial"/>
          <w:sz w:val="22"/>
          <w:szCs w:val="22"/>
        </w:rPr>
        <w:lastRenderedPageBreak/>
        <w:t xml:space="preserve">Government has not considered the complexities of the L-Category sector in terms of what is and isn’t feasible when it comes to phasing out the other key segments of the market. </w:t>
      </w:r>
    </w:p>
    <w:p w14:paraId="15D4EC99" w14:textId="77777777" w:rsidR="00FE00CB" w:rsidRDefault="00FE00CB" w:rsidP="00FE00CB">
      <w:pPr>
        <w:jc w:val="both"/>
      </w:pPr>
    </w:p>
    <w:p w14:paraId="24856A06" w14:textId="77777777" w:rsidR="00FE00CB" w:rsidRPr="004B552F" w:rsidRDefault="00FE00CB" w:rsidP="00FE00CB">
      <w:pPr>
        <w:jc w:val="both"/>
        <w:rPr>
          <w:rFonts w:ascii="Arial" w:hAnsi="Arial" w:cs="Arial"/>
          <w:sz w:val="22"/>
          <w:szCs w:val="22"/>
        </w:rPr>
      </w:pPr>
      <w:r w:rsidRPr="004B552F">
        <w:rPr>
          <w:rFonts w:ascii="Arial" w:hAnsi="Arial" w:cs="Arial"/>
          <w:sz w:val="22"/>
          <w:szCs w:val="22"/>
        </w:rPr>
        <w:t xml:space="preserve">“We put forward a compelling case in our </w:t>
      </w:r>
      <w:hyperlink r:id="rId6" w:history="1">
        <w:r w:rsidRPr="004B552F">
          <w:rPr>
            <w:rStyle w:val="Hyperlink"/>
            <w:rFonts w:ascii="Arial" w:hAnsi="Arial" w:cs="Arial"/>
            <w:sz w:val="22"/>
            <w:szCs w:val="22"/>
          </w:rPr>
          <w:t>Journey to a Brighter Destination</w:t>
        </w:r>
      </w:hyperlink>
      <w:r w:rsidRPr="004B552F">
        <w:rPr>
          <w:rFonts w:ascii="Arial" w:hAnsi="Arial" w:cs="Arial"/>
          <w:sz w:val="22"/>
          <w:szCs w:val="22"/>
        </w:rPr>
        <w:t xml:space="preserve"> document for the continued support of large capacity leisure motorcycling and why it needs to be treated as such in the consultation</w:t>
      </w:r>
      <w:r>
        <w:rPr>
          <w:rFonts w:ascii="Arial" w:hAnsi="Arial" w:cs="Arial"/>
          <w:sz w:val="22"/>
          <w:szCs w:val="22"/>
        </w:rPr>
        <w:t xml:space="preserve"> and decisions made from this process</w:t>
      </w:r>
      <w:r w:rsidRPr="004B552F">
        <w:rPr>
          <w:rFonts w:ascii="Arial" w:hAnsi="Arial" w:cs="Arial"/>
          <w:sz w:val="22"/>
          <w:szCs w:val="22"/>
        </w:rPr>
        <w:t>. Its minimal emissions, low mileage, important contributions to the economy, sport, tourism and mental health benefits are all reasons why a fairer, progressive and more bespoke approach is needed to phase out new non</w:t>
      </w:r>
      <w:r>
        <w:rPr>
          <w:rFonts w:ascii="Arial" w:hAnsi="Arial" w:cs="Arial"/>
          <w:sz w:val="22"/>
          <w:szCs w:val="22"/>
        </w:rPr>
        <w:t>-</w:t>
      </w:r>
      <w:r w:rsidRPr="004B552F">
        <w:rPr>
          <w:rFonts w:ascii="Arial" w:hAnsi="Arial" w:cs="Arial"/>
          <w:sz w:val="22"/>
          <w:szCs w:val="22"/>
        </w:rPr>
        <w:t>zero emission motorcycles.</w:t>
      </w:r>
    </w:p>
    <w:bookmarkEnd w:id="1"/>
    <w:p w14:paraId="2D4123C0" w14:textId="77777777" w:rsidR="00FE00CB" w:rsidRPr="001A55E5" w:rsidRDefault="00FE00CB" w:rsidP="00FE00CB">
      <w:pPr>
        <w:rPr>
          <w:sz w:val="22"/>
          <w:szCs w:val="22"/>
        </w:rPr>
      </w:pPr>
    </w:p>
    <w:p w14:paraId="37053FBD" w14:textId="77777777" w:rsidR="00FE00CB" w:rsidRPr="0010681F" w:rsidRDefault="00FE00CB" w:rsidP="00FE00CB">
      <w:pPr>
        <w:jc w:val="both"/>
        <w:rPr>
          <w:rFonts w:ascii="Arial" w:hAnsi="Arial" w:cs="Arial"/>
          <w:sz w:val="22"/>
          <w:szCs w:val="22"/>
        </w:rPr>
      </w:pPr>
    </w:p>
    <w:p w14:paraId="5F6AF7F8" w14:textId="77777777" w:rsidR="00FE00CB" w:rsidRPr="0010681F" w:rsidRDefault="00FE00CB" w:rsidP="00FE00CB">
      <w:pPr>
        <w:jc w:val="center"/>
        <w:rPr>
          <w:rFonts w:ascii="Arial" w:hAnsi="Arial" w:cs="Arial"/>
          <w:b/>
          <w:bCs/>
          <w:sz w:val="22"/>
          <w:szCs w:val="22"/>
        </w:rPr>
      </w:pPr>
      <w:r w:rsidRPr="0010681F">
        <w:rPr>
          <w:rFonts w:ascii="Arial" w:hAnsi="Arial" w:cs="Arial"/>
          <w:b/>
          <w:bCs/>
          <w:sz w:val="22"/>
          <w:szCs w:val="22"/>
        </w:rPr>
        <w:t>- ENDS -</w:t>
      </w:r>
    </w:p>
    <w:p w14:paraId="25B7DBC8" w14:textId="77777777" w:rsidR="00FE00CB" w:rsidRPr="0010681F" w:rsidRDefault="00FE00CB" w:rsidP="00FE00CB">
      <w:pPr>
        <w:jc w:val="both"/>
        <w:rPr>
          <w:rFonts w:ascii="Arial" w:hAnsi="Arial" w:cs="Arial"/>
          <w:sz w:val="22"/>
          <w:szCs w:val="22"/>
        </w:rPr>
      </w:pPr>
    </w:p>
    <w:p w14:paraId="197756B5" w14:textId="77777777" w:rsidR="00FE00CB" w:rsidRPr="00AE2D64" w:rsidRDefault="00FE00CB" w:rsidP="00FE00CB">
      <w:pPr>
        <w:jc w:val="both"/>
        <w:rPr>
          <w:rFonts w:ascii="Arial" w:hAnsi="Arial" w:cs="Arial"/>
          <w:sz w:val="22"/>
          <w:szCs w:val="22"/>
        </w:rPr>
      </w:pPr>
      <w:r w:rsidRPr="00AE2D64">
        <w:rPr>
          <w:rFonts w:ascii="Arial" w:hAnsi="Arial" w:cs="Arial"/>
          <w:sz w:val="22"/>
          <w:szCs w:val="22"/>
        </w:rPr>
        <w:t>Notes for Editors:</w:t>
      </w:r>
    </w:p>
    <w:p w14:paraId="5366EA93" w14:textId="77777777" w:rsidR="00FE00CB" w:rsidRDefault="00FE00CB" w:rsidP="00FE00CB">
      <w:pPr>
        <w:jc w:val="both"/>
        <w:rPr>
          <w:rFonts w:ascii="Arial" w:hAnsi="Arial" w:cs="Arial"/>
          <w:sz w:val="22"/>
          <w:szCs w:val="22"/>
        </w:rPr>
      </w:pPr>
    </w:p>
    <w:p w14:paraId="2E41D9A7" w14:textId="77777777" w:rsidR="00FE00CB" w:rsidRPr="0010681F" w:rsidRDefault="00FE00CB" w:rsidP="00FE00CB">
      <w:pPr>
        <w:jc w:val="both"/>
        <w:rPr>
          <w:rFonts w:ascii="Arial" w:hAnsi="Arial" w:cs="Arial"/>
          <w:sz w:val="22"/>
          <w:szCs w:val="22"/>
        </w:rPr>
      </w:pPr>
      <w:r w:rsidRPr="00AD2571">
        <w:rPr>
          <w:rFonts w:ascii="Arial" w:hAnsi="Arial" w:cs="Arial"/>
          <w:sz w:val="22"/>
          <w:szCs w:val="22"/>
          <w:highlight w:val="yellow"/>
        </w:rPr>
        <w:t>XXX MP</w:t>
      </w:r>
      <w:r>
        <w:rPr>
          <w:rFonts w:ascii="Arial" w:hAnsi="Arial" w:cs="Arial"/>
          <w:sz w:val="22"/>
          <w:szCs w:val="22"/>
        </w:rPr>
        <w:t xml:space="preserve"> represents constituents of </w:t>
      </w:r>
      <w:r w:rsidRPr="00AD2571">
        <w:rPr>
          <w:rFonts w:ascii="Arial" w:hAnsi="Arial" w:cs="Arial"/>
          <w:sz w:val="22"/>
          <w:szCs w:val="22"/>
          <w:highlight w:val="yellow"/>
        </w:rPr>
        <w:t>XXXXXX</w:t>
      </w:r>
      <w:r>
        <w:rPr>
          <w:rFonts w:ascii="Arial" w:hAnsi="Arial" w:cs="Arial"/>
          <w:sz w:val="22"/>
          <w:szCs w:val="22"/>
        </w:rPr>
        <w:t>.</w:t>
      </w:r>
    </w:p>
    <w:p w14:paraId="1246296F" w14:textId="756F8C51" w:rsidR="00FE00CB" w:rsidRPr="00AE2D64" w:rsidRDefault="00FE00CB" w:rsidP="00FE00CB">
      <w:pPr>
        <w:jc w:val="both"/>
        <w:rPr>
          <w:rFonts w:ascii="Arial" w:hAnsi="Arial" w:cs="Arial"/>
          <w:sz w:val="22"/>
          <w:szCs w:val="22"/>
        </w:rPr>
      </w:pPr>
      <w:r w:rsidRPr="00AE2D64">
        <w:rPr>
          <w:rFonts w:ascii="Arial" w:hAnsi="Arial" w:cs="Arial"/>
          <w:sz w:val="22"/>
          <w:szCs w:val="22"/>
        </w:rPr>
        <w:t xml:space="preserve"> </w:t>
      </w:r>
    </w:p>
    <w:p w14:paraId="28B04C56" w14:textId="77777777" w:rsidR="00FE00CB" w:rsidRPr="00AE2D64" w:rsidRDefault="00FE00CB" w:rsidP="00FE00CB">
      <w:pPr>
        <w:jc w:val="both"/>
        <w:rPr>
          <w:rFonts w:ascii="Arial" w:hAnsi="Arial" w:cs="Arial"/>
          <w:sz w:val="22"/>
          <w:szCs w:val="22"/>
        </w:rPr>
      </w:pPr>
      <w:r w:rsidRPr="00AE2D64">
        <w:rPr>
          <w:rFonts w:ascii="Arial" w:hAnsi="Arial" w:cs="Arial"/>
          <w:sz w:val="22"/>
          <w:szCs w:val="22"/>
        </w:rPr>
        <w:t xml:space="preserve">More detail on PTW registrations can be found at: https://www.mcia.co.uk/press-statistics  </w:t>
      </w:r>
    </w:p>
    <w:p w14:paraId="0E6D3DE3" w14:textId="77777777" w:rsidR="00FE00CB" w:rsidRDefault="00FE00CB" w:rsidP="00FE00CB">
      <w:pPr>
        <w:jc w:val="both"/>
        <w:rPr>
          <w:rFonts w:ascii="Arial" w:hAnsi="Arial" w:cs="Arial"/>
          <w:sz w:val="22"/>
          <w:szCs w:val="22"/>
        </w:rPr>
      </w:pPr>
      <w:r w:rsidRPr="00AE2D64">
        <w:rPr>
          <w:rFonts w:ascii="Arial" w:hAnsi="Arial" w:cs="Arial"/>
          <w:sz w:val="22"/>
          <w:szCs w:val="22"/>
        </w:rPr>
        <w:t>Please credit MCIA when quoting this information.</w:t>
      </w:r>
    </w:p>
    <w:p w14:paraId="0FEBDB40" w14:textId="77777777" w:rsidR="00FE00CB" w:rsidRDefault="00FE00CB" w:rsidP="00FE00CB">
      <w:pPr>
        <w:jc w:val="both"/>
        <w:rPr>
          <w:rFonts w:ascii="Arial" w:hAnsi="Arial" w:cs="Arial"/>
          <w:sz w:val="22"/>
          <w:szCs w:val="22"/>
        </w:rPr>
      </w:pPr>
    </w:p>
    <w:p w14:paraId="6646D90D" w14:textId="77777777" w:rsidR="00FE00CB" w:rsidRDefault="00FE00CB" w:rsidP="00FE00CB">
      <w:pPr>
        <w:jc w:val="both"/>
        <w:rPr>
          <w:rFonts w:ascii="Arial" w:hAnsi="Arial" w:cs="Arial"/>
          <w:sz w:val="22"/>
          <w:szCs w:val="22"/>
        </w:rPr>
      </w:pPr>
      <w:r>
        <w:rPr>
          <w:rFonts w:ascii="Arial" w:hAnsi="Arial" w:cs="Arial"/>
          <w:sz w:val="22"/>
          <w:szCs w:val="22"/>
        </w:rPr>
        <w:t>MCIA proposals:</w:t>
      </w:r>
    </w:p>
    <w:p w14:paraId="4701A768" w14:textId="77777777" w:rsidR="00FE00CB" w:rsidRPr="00AE2D64" w:rsidRDefault="00FE00CB" w:rsidP="00FE00CB">
      <w:pPr>
        <w:jc w:val="both"/>
        <w:rPr>
          <w:rFonts w:ascii="Arial" w:hAnsi="Arial" w:cs="Arial"/>
          <w:sz w:val="22"/>
          <w:szCs w:val="22"/>
        </w:rPr>
      </w:pPr>
    </w:p>
    <w:tbl>
      <w:tblPr>
        <w:tblpPr w:leftFromText="180" w:rightFromText="180" w:vertAnchor="page" w:horzAnchor="margin" w:tblpY="7731"/>
        <w:tblW w:w="9062" w:type="dxa"/>
        <w:tblCellMar>
          <w:left w:w="0" w:type="dxa"/>
          <w:right w:w="0" w:type="dxa"/>
        </w:tblCellMar>
        <w:tblLook w:val="0420" w:firstRow="1" w:lastRow="0" w:firstColumn="0" w:lastColumn="0" w:noHBand="0" w:noVBand="1"/>
      </w:tblPr>
      <w:tblGrid>
        <w:gridCol w:w="1550"/>
        <w:gridCol w:w="2551"/>
        <w:gridCol w:w="2126"/>
        <w:gridCol w:w="2835"/>
      </w:tblGrid>
      <w:tr w:rsidR="00FE00CB" w:rsidRPr="00C709EE" w14:paraId="3E47FA69" w14:textId="77777777" w:rsidTr="00FE00CB">
        <w:trPr>
          <w:trHeight w:val="276"/>
        </w:trPr>
        <w:tc>
          <w:tcPr>
            <w:tcW w:w="9062" w:type="dxa"/>
            <w:gridSpan w:val="4"/>
            <w:tcBorders>
              <w:top w:val="single" w:sz="8" w:space="0" w:color="FFFFFF"/>
              <w:left w:val="single" w:sz="8" w:space="0" w:color="FFFFFF"/>
              <w:bottom w:val="single" w:sz="24" w:space="0" w:color="FFFFFF"/>
              <w:right w:val="single" w:sz="8" w:space="0" w:color="FFFFFF"/>
            </w:tcBorders>
            <w:shd w:val="clear" w:color="auto" w:fill="2B417B"/>
          </w:tcPr>
          <w:p w14:paraId="258018E6" w14:textId="77777777" w:rsidR="00FE00CB" w:rsidRPr="001D5108" w:rsidRDefault="00FE00CB" w:rsidP="00FE00CB">
            <w:pPr>
              <w:rPr>
                <w:rFonts w:ascii="Arial" w:eastAsia="Times New Roman" w:hAnsi="Arial" w:cs="Arial"/>
                <w:b/>
                <w:bCs/>
                <w:color w:val="FFFFFF" w:themeColor="light1"/>
                <w:kern w:val="24"/>
                <w:sz w:val="22"/>
                <w:szCs w:val="22"/>
                <w:lang w:eastAsia="en-GB"/>
              </w:rPr>
            </w:pPr>
            <w:r w:rsidRPr="001D5108">
              <w:rPr>
                <w:rFonts w:ascii="Arial" w:eastAsia="Times New Roman" w:hAnsi="Arial" w:cs="Arial"/>
                <w:b/>
                <w:bCs/>
                <w:color w:val="FFFFFF" w:themeColor="light1"/>
                <w:kern w:val="24"/>
                <w:sz w:val="22"/>
                <w:szCs w:val="22"/>
                <w:lang w:eastAsia="en-GB"/>
              </w:rPr>
              <w:t>MCIA PROPOSALS</w:t>
            </w:r>
          </w:p>
        </w:tc>
      </w:tr>
      <w:tr w:rsidR="00FE00CB" w:rsidRPr="00C709EE" w14:paraId="64B48E38" w14:textId="77777777" w:rsidTr="00FE00CB">
        <w:trPr>
          <w:trHeight w:val="276"/>
        </w:trPr>
        <w:tc>
          <w:tcPr>
            <w:tcW w:w="1550" w:type="dxa"/>
            <w:tcBorders>
              <w:top w:val="single" w:sz="8" w:space="0" w:color="FFFFFF"/>
              <w:left w:val="single" w:sz="8" w:space="0" w:color="FFFFFF"/>
              <w:bottom w:val="single" w:sz="24" w:space="0" w:color="FFFFFF"/>
              <w:right w:val="single" w:sz="8" w:space="0" w:color="FFFFFF"/>
            </w:tcBorders>
            <w:shd w:val="clear" w:color="auto" w:fill="2B417B"/>
          </w:tcPr>
          <w:p w14:paraId="6A5E533A" w14:textId="77777777" w:rsidR="00FE00CB" w:rsidRPr="001D5108" w:rsidRDefault="00FE00CB" w:rsidP="00FE00CB">
            <w:pPr>
              <w:rPr>
                <w:rFonts w:ascii="Arial" w:eastAsia="Times New Roman" w:hAnsi="Arial" w:cs="Arial"/>
                <w:b/>
                <w:bCs/>
                <w:color w:val="FFFFFF" w:themeColor="light1"/>
                <w:kern w:val="24"/>
                <w:sz w:val="22"/>
                <w:szCs w:val="22"/>
                <w:lang w:eastAsia="en-GB"/>
              </w:rPr>
            </w:pPr>
            <w:r w:rsidRPr="001D5108">
              <w:rPr>
                <w:rFonts w:ascii="Arial" w:eastAsia="Times New Roman" w:hAnsi="Arial" w:cs="Arial"/>
                <w:b/>
                <w:bCs/>
                <w:color w:val="FFFFFF" w:themeColor="light1"/>
                <w:kern w:val="24"/>
                <w:sz w:val="22"/>
                <w:szCs w:val="22"/>
                <w:lang w:eastAsia="en-GB"/>
              </w:rPr>
              <w:t xml:space="preserve">Categories </w:t>
            </w:r>
          </w:p>
        </w:tc>
        <w:tc>
          <w:tcPr>
            <w:tcW w:w="2551" w:type="dxa"/>
            <w:tcBorders>
              <w:top w:val="single" w:sz="8" w:space="0" w:color="FFFFFF"/>
              <w:left w:val="single" w:sz="8" w:space="0" w:color="FFFFFF"/>
              <w:bottom w:val="single" w:sz="24" w:space="0" w:color="FFFFFF"/>
              <w:right w:val="single" w:sz="8" w:space="0" w:color="FFFFFF"/>
            </w:tcBorders>
            <w:shd w:val="clear" w:color="auto" w:fill="2B417B"/>
            <w:tcMar>
              <w:top w:w="72" w:type="dxa"/>
              <w:left w:w="144" w:type="dxa"/>
              <w:bottom w:w="72" w:type="dxa"/>
              <w:right w:w="144" w:type="dxa"/>
            </w:tcMar>
            <w:hideMark/>
          </w:tcPr>
          <w:p w14:paraId="3FABC40B" w14:textId="77777777" w:rsidR="00FE00CB" w:rsidRPr="001D5108" w:rsidRDefault="00FE00CB" w:rsidP="00FE00CB">
            <w:pPr>
              <w:rPr>
                <w:rFonts w:ascii="Arial" w:eastAsia="Times New Roman" w:hAnsi="Arial" w:cs="Arial"/>
                <w:b/>
                <w:bCs/>
                <w:color w:val="FFFFFF" w:themeColor="background1"/>
                <w:sz w:val="22"/>
                <w:szCs w:val="22"/>
                <w:lang w:eastAsia="en-GB"/>
              </w:rPr>
            </w:pPr>
            <w:r w:rsidRPr="001D5108">
              <w:rPr>
                <w:rFonts w:ascii="Arial" w:eastAsia="Times New Roman" w:hAnsi="Arial" w:cs="Arial"/>
                <w:b/>
                <w:bCs/>
                <w:color w:val="FFFFFF" w:themeColor="background1"/>
                <w:sz w:val="22"/>
                <w:szCs w:val="22"/>
                <w:lang w:eastAsia="en-GB"/>
              </w:rPr>
              <w:t>All L1 and L2 Category vehicles up to 4kW</w:t>
            </w:r>
          </w:p>
        </w:tc>
        <w:tc>
          <w:tcPr>
            <w:tcW w:w="2126" w:type="dxa"/>
            <w:tcBorders>
              <w:top w:val="single" w:sz="8" w:space="0" w:color="FFFFFF"/>
              <w:left w:val="single" w:sz="8" w:space="0" w:color="FFFFFF"/>
              <w:bottom w:val="single" w:sz="24" w:space="0" w:color="FFFFFF"/>
              <w:right w:val="single" w:sz="8" w:space="0" w:color="FFFFFF"/>
            </w:tcBorders>
            <w:shd w:val="clear" w:color="auto" w:fill="2B417B"/>
            <w:tcMar>
              <w:top w:w="72" w:type="dxa"/>
              <w:left w:w="144" w:type="dxa"/>
              <w:bottom w:w="72" w:type="dxa"/>
              <w:right w:w="144" w:type="dxa"/>
            </w:tcMar>
            <w:hideMark/>
          </w:tcPr>
          <w:p w14:paraId="3B8CAA05" w14:textId="77777777" w:rsidR="00FE00CB" w:rsidRPr="001D5108" w:rsidRDefault="00FE00CB" w:rsidP="00FE00CB">
            <w:pPr>
              <w:rPr>
                <w:rFonts w:ascii="Arial" w:eastAsia="Times New Roman" w:hAnsi="Arial" w:cs="Arial"/>
                <w:b/>
                <w:bCs/>
                <w:color w:val="FFFFFF" w:themeColor="background1"/>
                <w:sz w:val="22"/>
                <w:szCs w:val="22"/>
                <w:lang w:eastAsia="en-GB"/>
              </w:rPr>
            </w:pPr>
            <w:r w:rsidRPr="001D5108">
              <w:rPr>
                <w:rFonts w:ascii="Arial" w:eastAsiaTheme="minorEastAsia" w:hAnsi="Arial" w:cs="Arial"/>
                <w:b/>
                <w:bCs/>
                <w:color w:val="FFFFFF" w:themeColor="background1"/>
                <w:kern w:val="24"/>
                <w:sz w:val="22"/>
                <w:szCs w:val="22"/>
                <w:lang w:eastAsia="en-GB"/>
              </w:rPr>
              <w:t>All L4, L6 and L7 Category vehicles</w:t>
            </w:r>
          </w:p>
        </w:tc>
        <w:tc>
          <w:tcPr>
            <w:tcW w:w="2835" w:type="dxa"/>
            <w:tcBorders>
              <w:top w:val="single" w:sz="8" w:space="0" w:color="FFFFFF"/>
              <w:left w:val="single" w:sz="8" w:space="0" w:color="FFFFFF"/>
              <w:bottom w:val="single" w:sz="24" w:space="0" w:color="FFFFFF"/>
              <w:right w:val="single" w:sz="8" w:space="0" w:color="FFFFFF"/>
            </w:tcBorders>
            <w:shd w:val="clear" w:color="auto" w:fill="2B417B"/>
            <w:tcMar>
              <w:top w:w="72" w:type="dxa"/>
              <w:left w:w="144" w:type="dxa"/>
              <w:bottom w:w="72" w:type="dxa"/>
              <w:right w:w="144" w:type="dxa"/>
            </w:tcMar>
            <w:hideMark/>
          </w:tcPr>
          <w:p w14:paraId="1E635B5C" w14:textId="77777777" w:rsidR="00FE00CB" w:rsidRPr="001D5108" w:rsidRDefault="00FE00CB" w:rsidP="00FE00CB">
            <w:pPr>
              <w:rPr>
                <w:rFonts w:ascii="Arial" w:eastAsia="Times New Roman" w:hAnsi="Arial" w:cs="Arial"/>
                <w:b/>
                <w:bCs/>
                <w:color w:val="FFFFFF" w:themeColor="background1"/>
                <w:sz w:val="22"/>
                <w:szCs w:val="22"/>
                <w:lang w:eastAsia="en-GB"/>
              </w:rPr>
            </w:pPr>
            <w:r w:rsidRPr="001D5108">
              <w:rPr>
                <w:rFonts w:ascii="Arial" w:eastAsiaTheme="minorEastAsia" w:hAnsi="Arial" w:cs="Arial"/>
                <w:b/>
                <w:bCs/>
                <w:color w:val="FFFFFF" w:themeColor="background1"/>
                <w:kern w:val="24"/>
                <w:sz w:val="22"/>
                <w:szCs w:val="22"/>
                <w:lang w:eastAsia="en-GB"/>
              </w:rPr>
              <w:t>All L3 and L5 Category vehicles</w:t>
            </w:r>
          </w:p>
        </w:tc>
      </w:tr>
      <w:tr w:rsidR="00FE00CB" w:rsidRPr="001569DC" w14:paraId="6FF75AE7" w14:textId="77777777" w:rsidTr="00FE00CB">
        <w:trPr>
          <w:trHeight w:val="642"/>
        </w:trPr>
        <w:tc>
          <w:tcPr>
            <w:tcW w:w="1550" w:type="dxa"/>
            <w:tcBorders>
              <w:top w:val="single" w:sz="24" w:space="0" w:color="FFFFFF"/>
              <w:left w:val="single" w:sz="8" w:space="0" w:color="FFFFFF"/>
              <w:bottom w:val="single" w:sz="24" w:space="0" w:color="FFFFFF"/>
              <w:right w:val="single" w:sz="8" w:space="0" w:color="FFFFFF"/>
            </w:tcBorders>
            <w:shd w:val="clear" w:color="auto" w:fill="CDCFD7"/>
          </w:tcPr>
          <w:p w14:paraId="7DC0E437" w14:textId="77777777" w:rsidR="00FE00CB" w:rsidRPr="001D5108" w:rsidRDefault="00FE00CB" w:rsidP="00FE00CB">
            <w:pPr>
              <w:rPr>
                <w:rFonts w:ascii="Arial" w:eastAsiaTheme="minorEastAsia" w:hAnsi="Arial" w:cs="Arial"/>
                <w:kern w:val="24"/>
                <w:sz w:val="22"/>
                <w:szCs w:val="22"/>
                <w:lang w:eastAsia="en-GB"/>
              </w:rPr>
            </w:pPr>
            <w:r w:rsidRPr="001D5108">
              <w:rPr>
                <w:rFonts w:ascii="Arial" w:eastAsiaTheme="minorEastAsia" w:hAnsi="Arial" w:cs="Arial"/>
                <w:kern w:val="24"/>
                <w:sz w:val="22"/>
                <w:szCs w:val="22"/>
                <w:lang w:eastAsia="en-GB"/>
              </w:rPr>
              <w:t>Readiness check date</w:t>
            </w:r>
          </w:p>
        </w:tc>
        <w:tc>
          <w:tcPr>
            <w:tcW w:w="2551" w:type="dxa"/>
            <w:tcBorders>
              <w:top w:val="single" w:sz="24" w:space="0" w:color="FFFFFF"/>
              <w:left w:val="single" w:sz="8" w:space="0" w:color="FFFFFF"/>
              <w:bottom w:val="single" w:sz="24" w:space="0" w:color="FFFFFF"/>
              <w:right w:val="single" w:sz="8" w:space="0" w:color="FFFFFF"/>
            </w:tcBorders>
            <w:shd w:val="clear" w:color="auto" w:fill="CDCFD7"/>
            <w:tcMar>
              <w:top w:w="72" w:type="dxa"/>
              <w:left w:w="144" w:type="dxa"/>
              <w:bottom w:w="72" w:type="dxa"/>
              <w:right w:w="144" w:type="dxa"/>
            </w:tcMar>
            <w:hideMark/>
          </w:tcPr>
          <w:p w14:paraId="6C000511" w14:textId="77777777" w:rsidR="00FE00CB" w:rsidRPr="001D5108" w:rsidRDefault="00FE00CB" w:rsidP="00FE00CB">
            <w:pPr>
              <w:rPr>
                <w:rFonts w:ascii="Arial" w:eastAsia="Times New Roman" w:hAnsi="Arial" w:cs="Arial"/>
                <w:sz w:val="22"/>
                <w:szCs w:val="22"/>
                <w:lang w:eastAsia="en-GB"/>
              </w:rPr>
            </w:pPr>
            <w:r w:rsidRPr="001D5108">
              <w:rPr>
                <w:rFonts w:ascii="Arial" w:eastAsiaTheme="minorEastAsia" w:hAnsi="Arial" w:cs="Arial"/>
                <w:kern w:val="24"/>
                <w:sz w:val="22"/>
                <w:szCs w:val="22"/>
                <w:lang w:eastAsia="en-GB"/>
              </w:rPr>
              <w:t>2028</w:t>
            </w:r>
          </w:p>
        </w:tc>
        <w:tc>
          <w:tcPr>
            <w:tcW w:w="2126" w:type="dxa"/>
            <w:tcBorders>
              <w:top w:val="single" w:sz="24" w:space="0" w:color="FFFFFF"/>
              <w:left w:val="single" w:sz="8" w:space="0" w:color="FFFFFF"/>
              <w:bottom w:val="single" w:sz="24" w:space="0" w:color="FFFFFF"/>
              <w:right w:val="single" w:sz="8" w:space="0" w:color="FFFFFF"/>
            </w:tcBorders>
            <w:shd w:val="clear" w:color="auto" w:fill="CDCFD7"/>
            <w:tcMar>
              <w:top w:w="72" w:type="dxa"/>
              <w:left w:w="144" w:type="dxa"/>
              <w:bottom w:w="72" w:type="dxa"/>
              <w:right w:w="144" w:type="dxa"/>
            </w:tcMar>
            <w:hideMark/>
          </w:tcPr>
          <w:p w14:paraId="57CF5D61" w14:textId="77777777" w:rsidR="00FE00CB" w:rsidRPr="001D5108" w:rsidRDefault="00FE00CB" w:rsidP="00FE00CB">
            <w:pPr>
              <w:rPr>
                <w:rFonts w:ascii="Arial" w:eastAsia="Times New Roman" w:hAnsi="Arial" w:cs="Arial"/>
                <w:sz w:val="22"/>
                <w:szCs w:val="22"/>
                <w:lang w:eastAsia="en-GB"/>
              </w:rPr>
            </w:pPr>
            <w:r w:rsidRPr="001D5108">
              <w:rPr>
                <w:rFonts w:ascii="Arial" w:eastAsiaTheme="minorEastAsia" w:hAnsi="Arial" w:cs="Arial"/>
                <w:kern w:val="24"/>
                <w:sz w:val="22"/>
                <w:szCs w:val="22"/>
                <w:lang w:eastAsia="en-GB"/>
              </w:rPr>
              <w:t>2033</w:t>
            </w:r>
          </w:p>
        </w:tc>
        <w:tc>
          <w:tcPr>
            <w:tcW w:w="2835" w:type="dxa"/>
            <w:tcBorders>
              <w:top w:val="single" w:sz="24" w:space="0" w:color="FFFFFF"/>
              <w:left w:val="single" w:sz="8" w:space="0" w:color="FFFFFF"/>
              <w:bottom w:val="single" w:sz="24" w:space="0" w:color="FFFFFF"/>
              <w:right w:val="single" w:sz="8" w:space="0" w:color="FFFFFF"/>
            </w:tcBorders>
            <w:shd w:val="clear" w:color="auto" w:fill="CDCFD7"/>
            <w:tcMar>
              <w:top w:w="72" w:type="dxa"/>
              <w:left w:w="144" w:type="dxa"/>
              <w:bottom w:w="72" w:type="dxa"/>
              <w:right w:w="144" w:type="dxa"/>
            </w:tcMar>
            <w:hideMark/>
          </w:tcPr>
          <w:p w14:paraId="493E23FC" w14:textId="77777777" w:rsidR="00FE00CB" w:rsidRPr="001D5108" w:rsidRDefault="00FE00CB" w:rsidP="00FE00CB">
            <w:pPr>
              <w:rPr>
                <w:rFonts w:ascii="Arial" w:eastAsia="Times New Roman" w:hAnsi="Arial" w:cs="Arial"/>
                <w:sz w:val="22"/>
                <w:szCs w:val="22"/>
                <w:lang w:eastAsia="en-GB"/>
              </w:rPr>
            </w:pPr>
            <w:r w:rsidRPr="001D5108">
              <w:rPr>
                <w:rFonts w:ascii="Arial" w:eastAsiaTheme="minorEastAsia" w:hAnsi="Arial" w:cs="Arial"/>
                <w:kern w:val="24"/>
                <w:sz w:val="22"/>
                <w:szCs w:val="22"/>
                <w:lang w:eastAsia="en-GB"/>
              </w:rPr>
              <w:t>2038</w:t>
            </w:r>
          </w:p>
        </w:tc>
      </w:tr>
      <w:tr w:rsidR="00FE00CB" w:rsidRPr="001569DC" w14:paraId="31EB3F9D" w14:textId="77777777" w:rsidTr="00FE00CB">
        <w:trPr>
          <w:trHeight w:val="499"/>
        </w:trPr>
        <w:tc>
          <w:tcPr>
            <w:tcW w:w="1550" w:type="dxa"/>
            <w:tcBorders>
              <w:top w:val="single" w:sz="24" w:space="0" w:color="FFFFFF"/>
              <w:left w:val="single" w:sz="8" w:space="0" w:color="FFFFFF"/>
              <w:bottom w:val="single" w:sz="8" w:space="0" w:color="FFFFFF"/>
              <w:right w:val="single" w:sz="8" w:space="0" w:color="FFFFFF"/>
            </w:tcBorders>
            <w:shd w:val="clear" w:color="auto" w:fill="CDCFD7"/>
          </w:tcPr>
          <w:p w14:paraId="7F674062" w14:textId="77777777" w:rsidR="00FE00CB" w:rsidRPr="001D5108" w:rsidRDefault="00FE00CB" w:rsidP="00FE00CB">
            <w:pPr>
              <w:rPr>
                <w:rFonts w:ascii="Arial" w:eastAsiaTheme="minorEastAsia" w:hAnsi="Arial" w:cs="Arial"/>
                <w:kern w:val="24"/>
                <w:sz w:val="22"/>
                <w:szCs w:val="22"/>
                <w:lang w:eastAsia="en-GB"/>
              </w:rPr>
            </w:pPr>
            <w:r w:rsidRPr="001D5108">
              <w:rPr>
                <w:rFonts w:ascii="Arial" w:eastAsiaTheme="minorEastAsia" w:hAnsi="Arial" w:cs="Arial"/>
                <w:kern w:val="24"/>
                <w:sz w:val="22"/>
                <w:szCs w:val="22"/>
                <w:lang w:eastAsia="en-GB"/>
              </w:rPr>
              <w:t>Phase out date</w:t>
            </w:r>
          </w:p>
        </w:tc>
        <w:tc>
          <w:tcPr>
            <w:tcW w:w="2551" w:type="dxa"/>
            <w:tcBorders>
              <w:top w:val="single" w:sz="24" w:space="0" w:color="FFFFFF"/>
              <w:left w:val="single" w:sz="8" w:space="0" w:color="FFFFFF"/>
              <w:bottom w:val="single" w:sz="8" w:space="0" w:color="FFFFFF"/>
              <w:right w:val="single" w:sz="8" w:space="0" w:color="FFFFFF"/>
            </w:tcBorders>
            <w:shd w:val="clear" w:color="auto" w:fill="CDCFD7"/>
            <w:tcMar>
              <w:top w:w="72" w:type="dxa"/>
              <w:left w:w="144" w:type="dxa"/>
              <w:bottom w:w="72" w:type="dxa"/>
              <w:right w:w="144" w:type="dxa"/>
            </w:tcMar>
          </w:tcPr>
          <w:p w14:paraId="371DE22B" w14:textId="77777777" w:rsidR="00FE00CB" w:rsidRPr="001D5108" w:rsidRDefault="00FE00CB" w:rsidP="00FE00CB">
            <w:pPr>
              <w:rPr>
                <w:rFonts w:ascii="Arial" w:eastAsiaTheme="minorEastAsia" w:hAnsi="Arial" w:cs="Arial"/>
                <w:kern w:val="24"/>
                <w:sz w:val="22"/>
                <w:szCs w:val="22"/>
                <w:lang w:eastAsia="en-GB"/>
              </w:rPr>
            </w:pPr>
            <w:r w:rsidRPr="001D5108">
              <w:rPr>
                <w:rFonts w:ascii="Arial" w:eastAsiaTheme="minorEastAsia" w:hAnsi="Arial" w:cs="Arial"/>
                <w:kern w:val="24"/>
                <w:sz w:val="22"/>
                <w:szCs w:val="22"/>
                <w:lang w:eastAsia="en-GB"/>
              </w:rPr>
              <w:t>2030</w:t>
            </w:r>
          </w:p>
        </w:tc>
        <w:tc>
          <w:tcPr>
            <w:tcW w:w="2126" w:type="dxa"/>
            <w:tcBorders>
              <w:top w:val="single" w:sz="24" w:space="0" w:color="FFFFFF"/>
              <w:left w:val="single" w:sz="8" w:space="0" w:color="FFFFFF"/>
              <w:bottom w:val="single" w:sz="8" w:space="0" w:color="FFFFFF"/>
              <w:right w:val="single" w:sz="8" w:space="0" w:color="FFFFFF"/>
            </w:tcBorders>
            <w:shd w:val="clear" w:color="auto" w:fill="CDCFD7"/>
            <w:tcMar>
              <w:top w:w="72" w:type="dxa"/>
              <w:left w:w="144" w:type="dxa"/>
              <w:bottom w:w="72" w:type="dxa"/>
              <w:right w:w="144" w:type="dxa"/>
            </w:tcMar>
          </w:tcPr>
          <w:p w14:paraId="107A5B20" w14:textId="77777777" w:rsidR="00FE00CB" w:rsidRPr="001D5108" w:rsidRDefault="00FE00CB" w:rsidP="00FE00CB">
            <w:pPr>
              <w:rPr>
                <w:rFonts w:ascii="Arial" w:eastAsiaTheme="minorEastAsia" w:hAnsi="Arial" w:cs="Arial"/>
                <w:kern w:val="24"/>
                <w:sz w:val="22"/>
                <w:szCs w:val="22"/>
                <w:lang w:eastAsia="en-GB"/>
              </w:rPr>
            </w:pPr>
            <w:r w:rsidRPr="001D5108">
              <w:rPr>
                <w:rFonts w:ascii="Arial" w:eastAsiaTheme="minorEastAsia" w:hAnsi="Arial" w:cs="Arial"/>
                <w:kern w:val="24"/>
                <w:sz w:val="22"/>
                <w:szCs w:val="22"/>
                <w:lang w:eastAsia="en-GB"/>
              </w:rPr>
              <w:t>2035</w:t>
            </w:r>
          </w:p>
        </w:tc>
        <w:tc>
          <w:tcPr>
            <w:tcW w:w="2835" w:type="dxa"/>
            <w:tcBorders>
              <w:top w:val="single" w:sz="24" w:space="0" w:color="FFFFFF"/>
              <w:left w:val="single" w:sz="8" w:space="0" w:color="FFFFFF"/>
              <w:bottom w:val="single" w:sz="8" w:space="0" w:color="FFFFFF"/>
              <w:right w:val="single" w:sz="8" w:space="0" w:color="FFFFFF"/>
            </w:tcBorders>
            <w:shd w:val="clear" w:color="auto" w:fill="CDCFD7"/>
            <w:tcMar>
              <w:top w:w="72" w:type="dxa"/>
              <w:left w:w="144" w:type="dxa"/>
              <w:bottom w:w="72" w:type="dxa"/>
              <w:right w:w="144" w:type="dxa"/>
            </w:tcMar>
          </w:tcPr>
          <w:p w14:paraId="41068363" w14:textId="77777777" w:rsidR="00FE00CB" w:rsidRPr="001D5108" w:rsidRDefault="00FE00CB" w:rsidP="00FE00CB">
            <w:pPr>
              <w:rPr>
                <w:rFonts w:ascii="Arial" w:eastAsiaTheme="minorEastAsia" w:hAnsi="Arial" w:cs="Arial"/>
                <w:kern w:val="24"/>
                <w:sz w:val="22"/>
                <w:szCs w:val="22"/>
                <w:lang w:eastAsia="en-GB"/>
              </w:rPr>
            </w:pPr>
            <w:r w:rsidRPr="001D5108">
              <w:rPr>
                <w:rFonts w:ascii="Arial" w:eastAsiaTheme="minorEastAsia" w:hAnsi="Arial" w:cs="Arial"/>
                <w:kern w:val="24"/>
                <w:sz w:val="22"/>
                <w:szCs w:val="22"/>
                <w:lang w:eastAsia="en-GB"/>
              </w:rPr>
              <w:t>From 2040</w:t>
            </w:r>
          </w:p>
        </w:tc>
      </w:tr>
    </w:tbl>
    <w:p w14:paraId="6A61CC8C" w14:textId="77777777" w:rsidR="00FE00CB" w:rsidRDefault="00FE00CB" w:rsidP="00FE00CB">
      <w:pPr>
        <w:jc w:val="both"/>
        <w:rPr>
          <w:rFonts w:ascii="Arial" w:hAnsi="Arial" w:cs="Arial"/>
          <w:sz w:val="22"/>
          <w:szCs w:val="22"/>
        </w:rPr>
      </w:pPr>
    </w:p>
    <w:p w14:paraId="28F42AED" w14:textId="2F47A3C0" w:rsidR="00FE00CB" w:rsidRPr="00AE2D64" w:rsidRDefault="00FE00CB" w:rsidP="00FE00CB">
      <w:pPr>
        <w:jc w:val="both"/>
        <w:rPr>
          <w:rFonts w:ascii="Arial" w:hAnsi="Arial" w:cs="Arial"/>
          <w:sz w:val="22"/>
          <w:szCs w:val="22"/>
        </w:rPr>
      </w:pPr>
      <w:r w:rsidRPr="00AE2D64">
        <w:rPr>
          <w:rFonts w:ascii="Arial" w:hAnsi="Arial" w:cs="Arial"/>
          <w:sz w:val="22"/>
          <w:szCs w:val="22"/>
        </w:rPr>
        <w:t xml:space="preserve">The MCIA is the body that represents the UK Powered Light Vehicle (PLV) industry.  PLVs can be defined as lightweight scooters, motorcycles, tricycles and quadricycles, typically with zero or low-emission power.  </w:t>
      </w:r>
    </w:p>
    <w:p w14:paraId="3A1F851D" w14:textId="77777777" w:rsidR="00FE00CB" w:rsidRPr="00AE2D64" w:rsidRDefault="00FE00CB" w:rsidP="00FE00CB">
      <w:pPr>
        <w:jc w:val="both"/>
        <w:rPr>
          <w:rFonts w:ascii="Arial" w:hAnsi="Arial" w:cs="Arial"/>
          <w:sz w:val="22"/>
          <w:szCs w:val="22"/>
        </w:rPr>
      </w:pPr>
    </w:p>
    <w:p w14:paraId="66427A28" w14:textId="77777777" w:rsidR="00FE00CB" w:rsidRPr="00AE2D64" w:rsidRDefault="00FE00CB" w:rsidP="00FE00CB">
      <w:pPr>
        <w:jc w:val="both"/>
        <w:rPr>
          <w:rFonts w:ascii="Arial" w:hAnsi="Arial" w:cs="Arial"/>
          <w:sz w:val="22"/>
          <w:szCs w:val="22"/>
        </w:rPr>
      </w:pPr>
      <w:r w:rsidRPr="00AE2D64">
        <w:rPr>
          <w:rFonts w:ascii="Arial" w:hAnsi="Arial" w:cs="Arial"/>
          <w:sz w:val="22"/>
          <w:szCs w:val="22"/>
        </w:rPr>
        <w:t xml:space="preserve">Also known as L-Category vehicles, they are an answer to the traffic congestion and air quality challenges created by personal and goods transportation. </w:t>
      </w:r>
    </w:p>
    <w:p w14:paraId="1F553B75" w14:textId="77777777" w:rsidR="00FE00CB" w:rsidRPr="00AE2D64" w:rsidRDefault="00FE00CB" w:rsidP="00FE00CB">
      <w:pPr>
        <w:jc w:val="both"/>
        <w:rPr>
          <w:rFonts w:ascii="Arial" w:hAnsi="Arial" w:cs="Arial"/>
          <w:sz w:val="22"/>
          <w:szCs w:val="22"/>
        </w:rPr>
      </w:pPr>
    </w:p>
    <w:p w14:paraId="23D6B2B3" w14:textId="77777777" w:rsidR="00FE00CB" w:rsidRPr="00AE2D64" w:rsidRDefault="00FE00CB" w:rsidP="00FE00CB">
      <w:pPr>
        <w:jc w:val="both"/>
        <w:rPr>
          <w:rFonts w:ascii="Arial" w:hAnsi="Arial" w:cs="Arial"/>
          <w:sz w:val="22"/>
          <w:szCs w:val="22"/>
        </w:rPr>
      </w:pPr>
      <w:r w:rsidRPr="00AE2D64">
        <w:rPr>
          <w:rFonts w:ascii="Arial" w:hAnsi="Arial" w:cs="Arial"/>
          <w:sz w:val="22"/>
          <w:szCs w:val="22"/>
        </w:rPr>
        <w:t xml:space="preserve">For more information about the work of MCIA, and Powered Light Vehicles, or to interview CEO Tony Campbell, please contact Alfie Brierley at </w:t>
      </w:r>
      <w:hyperlink r:id="rId7" w:history="1">
        <w:r w:rsidRPr="00AE2D64">
          <w:rPr>
            <w:rStyle w:val="Hyperlink"/>
            <w:rFonts w:ascii="Arial" w:hAnsi="Arial" w:cs="Arial"/>
            <w:sz w:val="22"/>
            <w:szCs w:val="22"/>
          </w:rPr>
          <w:t>a.brierley@mcia.co.uk</w:t>
        </w:r>
      </w:hyperlink>
      <w:r w:rsidRPr="00AE2D64">
        <w:rPr>
          <w:rFonts w:ascii="Arial" w:hAnsi="Arial" w:cs="Arial"/>
          <w:sz w:val="22"/>
          <w:szCs w:val="22"/>
        </w:rPr>
        <w:t xml:space="preserve"> or on 07590 168714.</w:t>
      </w:r>
    </w:p>
    <w:p w14:paraId="62A2B4C7" w14:textId="7F78D973" w:rsidR="00A9656C" w:rsidRPr="00A9656C" w:rsidRDefault="00A9656C" w:rsidP="00A9656C">
      <w:pPr>
        <w:rPr>
          <w:sz w:val="22"/>
          <w:szCs w:val="22"/>
        </w:rPr>
      </w:pPr>
    </w:p>
    <w:p w14:paraId="748A969F" w14:textId="77777777" w:rsidR="00A9656C" w:rsidRPr="0010681F" w:rsidRDefault="00A9656C" w:rsidP="000F6422">
      <w:pPr>
        <w:jc w:val="both"/>
        <w:rPr>
          <w:rFonts w:ascii="Arial" w:hAnsi="Arial" w:cs="Arial"/>
          <w:sz w:val="22"/>
          <w:szCs w:val="22"/>
        </w:rPr>
      </w:pPr>
    </w:p>
    <w:p w14:paraId="3B495173" w14:textId="77777777" w:rsidR="000F6422" w:rsidRPr="0010681F" w:rsidRDefault="000F6422" w:rsidP="000F6422">
      <w:pPr>
        <w:jc w:val="center"/>
        <w:rPr>
          <w:rFonts w:ascii="Arial" w:hAnsi="Arial" w:cs="Arial"/>
          <w:b/>
          <w:bCs/>
          <w:sz w:val="22"/>
          <w:szCs w:val="22"/>
        </w:rPr>
      </w:pPr>
      <w:r w:rsidRPr="0010681F">
        <w:rPr>
          <w:rFonts w:ascii="Arial" w:hAnsi="Arial" w:cs="Arial"/>
          <w:b/>
          <w:bCs/>
          <w:sz w:val="22"/>
          <w:szCs w:val="22"/>
        </w:rPr>
        <w:t>- ENDS -</w:t>
      </w:r>
    </w:p>
    <w:p w14:paraId="06C68491" w14:textId="77777777" w:rsidR="000F6422" w:rsidRPr="0010681F" w:rsidRDefault="000F6422" w:rsidP="000F6422">
      <w:pPr>
        <w:jc w:val="both"/>
        <w:rPr>
          <w:rFonts w:ascii="Arial" w:hAnsi="Arial" w:cs="Arial"/>
          <w:sz w:val="22"/>
          <w:szCs w:val="22"/>
        </w:rPr>
      </w:pPr>
    </w:p>
    <w:sectPr w:rsidR="000F6422" w:rsidRPr="0010681F" w:rsidSect="00521F42">
      <w:footerReference w:type="default" r:id="rId8"/>
      <w:pgSz w:w="11900" w:h="16840"/>
      <w:pgMar w:top="1985" w:right="1389" w:bottom="141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F2D27" w14:textId="77777777" w:rsidR="005C5034" w:rsidRDefault="005C5034" w:rsidP="005C5034">
      <w:r>
        <w:separator/>
      </w:r>
    </w:p>
  </w:endnote>
  <w:endnote w:type="continuationSeparator" w:id="0">
    <w:p w14:paraId="0DABDC44" w14:textId="77777777" w:rsidR="005C5034" w:rsidRDefault="005C5034" w:rsidP="005C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503C" w14:textId="77777777" w:rsidR="00521F42" w:rsidRDefault="00AD2571">
    <w:pPr>
      <w:pStyle w:val="Footer"/>
    </w:pPr>
    <w:r>
      <w:rPr>
        <w:noProof/>
        <w:lang w:eastAsia="en-GB"/>
      </w:rPr>
      <w:drawing>
        <wp:anchor distT="0" distB="0" distL="114300" distR="114300" simplePos="0" relativeHeight="251660288" behindDoc="1" locked="0" layoutInCell="1" allowOverlap="1" wp14:anchorId="7BFED7B2" wp14:editId="7AA5BFEC">
          <wp:simplePos x="0" y="0"/>
          <wp:positionH relativeFrom="page">
            <wp:align>right</wp:align>
          </wp:positionH>
          <wp:positionV relativeFrom="page">
            <wp:align>bottom</wp:align>
          </wp:positionV>
          <wp:extent cx="999360" cy="466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CIA-Continuation-Footer.png"/>
                  <pic:cNvPicPr/>
                </pic:nvPicPr>
                <pic:blipFill>
                  <a:blip r:embed="rId1">
                    <a:extLst>
                      <a:ext uri="{28A0092B-C50C-407E-A947-70E740481C1C}">
                        <a14:useLocalDpi xmlns:a14="http://schemas.microsoft.com/office/drawing/2010/main" val="0"/>
                      </a:ext>
                    </a:extLst>
                  </a:blip>
                  <a:stretch>
                    <a:fillRect/>
                  </a:stretch>
                </pic:blipFill>
                <pic:spPr>
                  <a:xfrm>
                    <a:off x="0" y="0"/>
                    <a:ext cx="999360" cy="466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4B7AD" w14:textId="77777777" w:rsidR="005C5034" w:rsidRDefault="005C5034" w:rsidP="005C5034">
      <w:r>
        <w:separator/>
      </w:r>
    </w:p>
  </w:footnote>
  <w:footnote w:type="continuationSeparator" w:id="0">
    <w:p w14:paraId="30F1C33A" w14:textId="77777777" w:rsidR="005C5034" w:rsidRDefault="005C5034" w:rsidP="005C5034">
      <w:r>
        <w:continuationSeparator/>
      </w:r>
    </w:p>
  </w:footnote>
  <w:footnote w:id="1">
    <w:p w14:paraId="7E924388" w14:textId="77777777" w:rsidR="00FE00CB" w:rsidRDefault="00FE00CB" w:rsidP="00FE00CB">
      <w:pPr>
        <w:pStyle w:val="FootnoteText"/>
      </w:pPr>
      <w:r>
        <w:rPr>
          <w:rStyle w:val="FootnoteReference"/>
        </w:rPr>
        <w:footnoteRef/>
      </w:r>
      <w:r>
        <w:t xml:space="preserve"> </w:t>
      </w:r>
      <w:hyperlink r:id="rId1" w:history="1">
        <w:r w:rsidRPr="00625823">
          <w:rPr>
            <w:rStyle w:val="Hyperlink"/>
          </w:rPr>
          <w:t>https://www.mcia.co.uk/posts/powered-light-vehicles-can-enable-transport</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422"/>
    <w:rsid w:val="00057997"/>
    <w:rsid w:val="000F6422"/>
    <w:rsid w:val="00125891"/>
    <w:rsid w:val="001C181C"/>
    <w:rsid w:val="002319EE"/>
    <w:rsid w:val="00244E05"/>
    <w:rsid w:val="00270468"/>
    <w:rsid w:val="003007DE"/>
    <w:rsid w:val="005C5034"/>
    <w:rsid w:val="005E4826"/>
    <w:rsid w:val="00653957"/>
    <w:rsid w:val="006608EC"/>
    <w:rsid w:val="00670D04"/>
    <w:rsid w:val="006D4308"/>
    <w:rsid w:val="00746AA0"/>
    <w:rsid w:val="00862C0F"/>
    <w:rsid w:val="008A3E3E"/>
    <w:rsid w:val="009E3C19"/>
    <w:rsid w:val="00A34A41"/>
    <w:rsid w:val="00A54465"/>
    <w:rsid w:val="00A9656C"/>
    <w:rsid w:val="00AD2571"/>
    <w:rsid w:val="00BC3DE4"/>
    <w:rsid w:val="00BF47F1"/>
    <w:rsid w:val="00C5479E"/>
    <w:rsid w:val="00CE3578"/>
    <w:rsid w:val="00D36013"/>
    <w:rsid w:val="00DA1BBB"/>
    <w:rsid w:val="00E05C4F"/>
    <w:rsid w:val="00EC3A19"/>
    <w:rsid w:val="00F177CC"/>
    <w:rsid w:val="00FE00CB"/>
    <w:rsid w:val="00FE0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5293"/>
  <w15:chartTrackingRefBased/>
  <w15:docId w15:val="{7F7D7E2A-3CC9-4AA5-A772-96A6E06C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42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422"/>
    <w:pPr>
      <w:tabs>
        <w:tab w:val="center" w:pos="4513"/>
        <w:tab w:val="right" w:pos="9026"/>
      </w:tabs>
    </w:pPr>
  </w:style>
  <w:style w:type="character" w:customStyle="1" w:styleId="HeaderChar">
    <w:name w:val="Header Char"/>
    <w:basedOn w:val="DefaultParagraphFont"/>
    <w:link w:val="Header"/>
    <w:uiPriority w:val="99"/>
    <w:rsid w:val="000F6422"/>
    <w:rPr>
      <w:sz w:val="24"/>
      <w:szCs w:val="24"/>
    </w:rPr>
  </w:style>
  <w:style w:type="paragraph" w:styleId="Footer">
    <w:name w:val="footer"/>
    <w:basedOn w:val="Normal"/>
    <w:link w:val="FooterChar"/>
    <w:uiPriority w:val="99"/>
    <w:unhideWhenUsed/>
    <w:rsid w:val="000F6422"/>
    <w:pPr>
      <w:tabs>
        <w:tab w:val="center" w:pos="4513"/>
        <w:tab w:val="right" w:pos="9026"/>
      </w:tabs>
    </w:pPr>
  </w:style>
  <w:style w:type="character" w:customStyle="1" w:styleId="FooterChar">
    <w:name w:val="Footer Char"/>
    <w:basedOn w:val="DefaultParagraphFont"/>
    <w:link w:val="Footer"/>
    <w:uiPriority w:val="99"/>
    <w:rsid w:val="000F6422"/>
    <w:rPr>
      <w:sz w:val="24"/>
      <w:szCs w:val="24"/>
    </w:rPr>
  </w:style>
  <w:style w:type="character" w:styleId="Hyperlink">
    <w:name w:val="Hyperlink"/>
    <w:basedOn w:val="DefaultParagraphFont"/>
    <w:uiPriority w:val="99"/>
    <w:unhideWhenUsed/>
    <w:rsid w:val="000F6422"/>
    <w:rPr>
      <w:color w:val="0563C1" w:themeColor="hyperlink"/>
      <w:u w:val="single"/>
    </w:rPr>
  </w:style>
  <w:style w:type="paragraph" w:styleId="Revision">
    <w:name w:val="Revision"/>
    <w:hidden/>
    <w:uiPriority w:val="99"/>
    <w:semiHidden/>
    <w:rsid w:val="006608EC"/>
    <w:pPr>
      <w:spacing w:after="0" w:line="240" w:lineRule="auto"/>
    </w:pPr>
    <w:rPr>
      <w:sz w:val="24"/>
      <w:szCs w:val="24"/>
    </w:rPr>
  </w:style>
  <w:style w:type="character" w:styleId="UnresolvedMention">
    <w:name w:val="Unresolved Mention"/>
    <w:basedOn w:val="DefaultParagraphFont"/>
    <w:uiPriority w:val="99"/>
    <w:semiHidden/>
    <w:unhideWhenUsed/>
    <w:rsid w:val="00A54465"/>
    <w:rPr>
      <w:color w:val="605E5C"/>
      <w:shd w:val="clear" w:color="auto" w:fill="E1DFDD"/>
    </w:rPr>
  </w:style>
  <w:style w:type="character" w:styleId="CommentReference">
    <w:name w:val="annotation reference"/>
    <w:basedOn w:val="DefaultParagraphFont"/>
    <w:uiPriority w:val="99"/>
    <w:semiHidden/>
    <w:unhideWhenUsed/>
    <w:rsid w:val="00BF47F1"/>
    <w:rPr>
      <w:sz w:val="16"/>
      <w:szCs w:val="16"/>
    </w:rPr>
  </w:style>
  <w:style w:type="paragraph" w:styleId="CommentText">
    <w:name w:val="annotation text"/>
    <w:basedOn w:val="Normal"/>
    <w:link w:val="CommentTextChar"/>
    <w:uiPriority w:val="99"/>
    <w:unhideWhenUsed/>
    <w:rsid w:val="00BF47F1"/>
    <w:rPr>
      <w:sz w:val="20"/>
      <w:szCs w:val="20"/>
    </w:rPr>
  </w:style>
  <w:style w:type="character" w:customStyle="1" w:styleId="CommentTextChar">
    <w:name w:val="Comment Text Char"/>
    <w:basedOn w:val="DefaultParagraphFont"/>
    <w:link w:val="CommentText"/>
    <w:uiPriority w:val="99"/>
    <w:rsid w:val="00BF47F1"/>
    <w:rPr>
      <w:sz w:val="20"/>
      <w:szCs w:val="20"/>
    </w:rPr>
  </w:style>
  <w:style w:type="paragraph" w:styleId="CommentSubject">
    <w:name w:val="annotation subject"/>
    <w:basedOn w:val="CommentText"/>
    <w:next w:val="CommentText"/>
    <w:link w:val="CommentSubjectChar"/>
    <w:uiPriority w:val="99"/>
    <w:semiHidden/>
    <w:unhideWhenUsed/>
    <w:rsid w:val="00BF47F1"/>
    <w:rPr>
      <w:b/>
      <w:bCs/>
    </w:rPr>
  </w:style>
  <w:style w:type="character" w:customStyle="1" w:styleId="CommentSubjectChar">
    <w:name w:val="Comment Subject Char"/>
    <w:basedOn w:val="CommentTextChar"/>
    <w:link w:val="CommentSubject"/>
    <w:uiPriority w:val="99"/>
    <w:semiHidden/>
    <w:rsid w:val="00BF47F1"/>
    <w:rPr>
      <w:b/>
      <w:bCs/>
      <w:sz w:val="20"/>
      <w:szCs w:val="20"/>
    </w:rPr>
  </w:style>
  <w:style w:type="paragraph" w:styleId="FootnoteText">
    <w:name w:val="footnote text"/>
    <w:basedOn w:val="Normal"/>
    <w:link w:val="FootnoteTextChar"/>
    <w:uiPriority w:val="99"/>
    <w:semiHidden/>
    <w:unhideWhenUsed/>
    <w:rsid w:val="00244E05"/>
    <w:rPr>
      <w:sz w:val="20"/>
      <w:szCs w:val="20"/>
    </w:rPr>
  </w:style>
  <w:style w:type="character" w:customStyle="1" w:styleId="FootnoteTextChar">
    <w:name w:val="Footnote Text Char"/>
    <w:basedOn w:val="DefaultParagraphFont"/>
    <w:link w:val="FootnoteText"/>
    <w:uiPriority w:val="99"/>
    <w:semiHidden/>
    <w:rsid w:val="00244E05"/>
    <w:rPr>
      <w:sz w:val="20"/>
      <w:szCs w:val="20"/>
    </w:rPr>
  </w:style>
  <w:style w:type="character" w:styleId="FootnoteReference">
    <w:name w:val="footnote reference"/>
    <w:basedOn w:val="DefaultParagraphFont"/>
    <w:uiPriority w:val="99"/>
    <w:semiHidden/>
    <w:unhideWhenUsed/>
    <w:rsid w:val="00244E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6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brierley@mcia.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cia.co.uk/initiativ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mcia.co.uk/posts/powered-light-vehicles-can-enable-tran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Luckman</dc:creator>
  <cp:keywords/>
  <dc:description/>
  <cp:lastModifiedBy>Jenny Luckman</cp:lastModifiedBy>
  <cp:revision>3</cp:revision>
  <dcterms:created xsi:type="dcterms:W3CDTF">2022-09-30T10:34:00Z</dcterms:created>
  <dcterms:modified xsi:type="dcterms:W3CDTF">2022-09-30T11:09:00Z</dcterms:modified>
</cp:coreProperties>
</file>